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spacing w:after="200" w:line="276" w:lineRule="auto"/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pPr>
      <w:r>
        <w:rPr>
          <w:rFonts w:ascii="Arial" w:hAnsi="Arial" w:eastAsia="Arial" w:cs="Times New Roman"/>
          <w:sz w:val="22"/>
          <w:szCs w:val="22"/>
          <w:lang w:eastAsia="ru-RU"/>
          <w14:ligatures w14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-304800</wp:posOffset>
                </wp:positionV>
                <wp:extent cx="2692400" cy="981075"/>
                <wp:effectExtent l="0" t="0" r="0" b="0"/>
                <wp:wrapNone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3171298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692398" cy="981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288;o:allowoverlap:true;o:allowincell:true;mso-position-horizontal-relative:text;margin-left:-3.00pt;mso-position-horizontal:absolute;mso-position-vertical-relative:text;margin-top:-24.00pt;mso-position-vertical:absolute;width:212.00pt;height:77.25pt;mso-wrap-distance-left:9.00pt;mso-wrap-distance-top:0.00pt;mso-wrap-distance-right:9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r>
    </w:p>
    <w:p>
      <w:pPr>
        <w:jc w:val="center"/>
        <w:spacing w:after="200" w:line="276" w:lineRule="auto"/>
        <w:rPr>
          <w:rFonts w:ascii="Segoe UI" w:hAnsi="Segoe UI" w:eastAsia="Arial" w:cs="Segoe UI"/>
          <w:b/>
          <w:bCs/>
          <w:sz w:val="22"/>
          <w:szCs w:val="22"/>
          <w14:ligatures w14:val="none"/>
        </w:rPr>
      </w:pPr>
      <w:r>
        <w:rPr>
          <w:rFonts w:ascii="Segoe UI" w:hAnsi="Segoe UI" w:eastAsia="Arial" w:cs="Segoe UI"/>
          <w:b/>
          <w:sz w:val="28"/>
          <w:szCs w:val="28"/>
          <w:lang w:eastAsia="sk-SK"/>
          <w14:ligatures w14:val="none"/>
        </w:rPr>
        <w:t xml:space="preserve">                                                                                                ПРЕСС-РЕЛИЗ</w:t>
      </w:r>
      <w:r>
        <w:rPr>
          <w:rFonts w:ascii="Segoe UI" w:hAnsi="Segoe UI" w:eastAsia="Arial" w:cs="Segoe UI"/>
          <w:b/>
          <w:bCs/>
          <w:sz w:val="22"/>
          <w:szCs w:val="22"/>
          <w14:ligatures w14:val="none"/>
        </w:rPr>
      </w:r>
      <w:r>
        <w:rPr>
          <w:rFonts w:ascii="Segoe UI" w:hAnsi="Segoe UI" w:eastAsia="Arial" w:cs="Segoe UI"/>
          <w:b/>
          <w:bCs/>
          <w:sz w:val="22"/>
          <w:szCs w:val="22"/>
          <w14:ligatures w14:val="none"/>
        </w:rPr>
      </w:r>
    </w:p>
    <w:p>
      <w:pPr>
        <w:jc w:val="center"/>
        <w:rPr>
          <w:rFonts w:ascii="Segoe UI" w:hAnsi="Segoe UI" w:cs="Segoe UI"/>
          <w:b/>
          <w:bCs/>
          <w:color w:val="000000" w:themeColor="text1"/>
          <w:sz w:val="24"/>
          <w:szCs w:val="24"/>
        </w:rPr>
      </w:pP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Segoe UI" w:hAnsi="Segoe UI" w:cs="Segoe UI"/>
          <w:b/>
          <w:bCs/>
          <w:color w:val="000000" w:themeColor="text1"/>
          <w:sz w:val="24"/>
          <w:szCs w:val="24"/>
        </w:rPr>
      </w:r>
    </w:p>
    <w:p>
      <w:pPr>
        <w:jc w:val="center"/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  <w:t xml:space="preserve">Управление опубликовало </w:t>
      </w: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</w:rPr>
        <w:t xml:space="preserve">рейтинг кадастровых инженеров Свердловской области</w:t>
      </w: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  <w:t xml:space="preserve"> за I квартал 2026 года</w:t>
      </w: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highlight w:val="none"/>
        </w:rPr>
      </w:r>
    </w:p>
    <w:p>
      <w:pPr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Д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ля государственного кадастрового учета недвижимого имущества в большинстве случаев гражданам необходимо воспользоваться услугами кадастрового инженера. Выбор грамотного и квалифицированного специалиста – залог качества проведения кадастровых работ и подгот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овки по их результатам достоверных документов.</w:t>
      </w:r>
      <w:r>
        <w:rPr>
          <w:rFonts w:ascii="Segoe UI" w:hAnsi="Segoe UI" w:cs="Segoe UI"/>
          <w:color w:val="000000" w:themeColor="text1"/>
          <w:sz w:val="24"/>
          <w:szCs w:val="24"/>
        </w:rPr>
      </w:r>
      <w:r>
        <w:rPr>
          <w:rFonts w:ascii="Segoe UI" w:hAnsi="Segoe UI" w:cs="Segoe UI"/>
          <w:color w:val="000000" w:themeColor="text1"/>
          <w:sz w:val="24"/>
          <w:szCs w:val="24"/>
        </w:rPr>
      </w:r>
    </w:p>
    <w:p>
      <w:pPr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Управление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Росреестра по Свердловской области подготовило рейтинг кадастровых инженеров, осуществляющих свою деятельность на территории Свердловской области. В 1 квартале этого года на территории Свердловской области кадастровую деятельность осуществляли более 500 ка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дастровых инженеров.</w:t>
      </w:r>
      <w:r>
        <w:rPr>
          <w:rFonts w:ascii="Segoe UI" w:hAnsi="Segoe UI" w:cs="Segoe UI"/>
          <w:color w:val="000000" w:themeColor="text1"/>
          <w:sz w:val="24"/>
          <w:szCs w:val="24"/>
        </w:rPr>
      </w:r>
      <w:r>
        <w:rPr>
          <w:rFonts w:ascii="Segoe UI" w:hAnsi="Segoe UI" w:cs="Segoe UI"/>
          <w:color w:val="000000" w:themeColor="text1"/>
          <w:sz w:val="24"/>
          <w:szCs w:val="24"/>
        </w:rPr>
      </w:r>
    </w:p>
    <w:p>
      <w:pPr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Рейтинг опубликован на сайте Росреестра в разделе Открытая служба – Статистика и аналитика (Свердловская область) –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Рейтинг кадастровых инженеров на территории Свердловской области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–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 Рейтинг кадастровых инженеров по результатам рассмотрения документов, представленных для осуществления государственного кадастрового учета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–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 </w:t>
      </w:r>
      <w:hyperlink r:id="rId9" w:tooltip="https://rosreestr.gov.ru/open-service/statistika-i-analitika/reyting-kadastrovykh-inzhenerov-417/reytingi-kadastrovykh-inzhenerov-1-kvartal-2026-god-417-SO/" w:history="1">
        <w:r>
          <w:rPr>
            <w:rStyle w:val="812"/>
            <w:rFonts w:ascii="Segoe UI" w:hAnsi="Segoe UI" w:eastAsia="Segoe UI" w:cs="Segoe UI"/>
            <w:color w:val="000000" w:themeColor="text1"/>
            <w:sz w:val="24"/>
            <w:szCs w:val="24"/>
          </w:rPr>
          <w:t xml:space="preserve">Рейтинги кадастровых инженеров 1 квартал 2026 год.</w:t>
        </w:r>
        <w:r>
          <w:rPr>
            <w:rStyle w:val="812"/>
            <w:rFonts w:ascii="Segoe UI" w:hAnsi="Segoe UI" w:eastAsia="Segoe UI" w:cs="Segoe UI"/>
            <w:color w:val="000000" w:themeColor="text1"/>
            <w:sz w:val="24"/>
            <w:szCs w:val="24"/>
          </w:rPr>
        </w:r>
      </w:hyperlink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 Благодаря данному рейтингу граждане заочно могут составить представление о результатах профессиональной деятельности специалиста и снизить свои риски.</w:t>
      </w:r>
      <w:r>
        <w:rPr>
          <w:rFonts w:ascii="Segoe UI" w:hAnsi="Segoe UI" w:cs="Segoe UI"/>
          <w:color w:val="000000" w:themeColor="text1"/>
          <w:sz w:val="24"/>
          <w:szCs w:val="24"/>
        </w:rPr>
      </w:r>
      <w:r>
        <w:rPr>
          <w:rFonts w:ascii="Segoe UI" w:hAnsi="Segoe UI" w:cs="Segoe UI"/>
          <w:color w:val="000000" w:themeColor="text1"/>
          <w:sz w:val="24"/>
          <w:szCs w:val="24"/>
        </w:rPr>
      </w:r>
    </w:p>
    <w:p>
      <w:pPr>
        <w:jc w:val="both"/>
        <w:rPr>
          <w:rFonts w:ascii="Segoe UI" w:hAnsi="Segoe UI" w:cs="Segoe UI"/>
          <w:b/>
          <w:bCs/>
          <w:color w:val="000000" w:themeColor="text1"/>
          <w:sz w:val="24"/>
          <w:szCs w:val="24"/>
        </w:rPr>
      </w:pPr>
      <w:r>
        <w:rPr>
          <w:rFonts w:ascii="Segoe UI" w:hAnsi="Segoe UI" w:eastAsia="Segoe UI" w:cs="Segoe UI"/>
          <w:i/>
          <w:iCs/>
          <w:color w:val="000000" w:themeColor="text1"/>
          <w:sz w:val="24"/>
          <w:szCs w:val="24"/>
        </w:rPr>
        <w:t xml:space="preserve">«Рейтинг служит инструментом оценки профессиональной деятельности кадастрового инженера. В нём систематизированы данные о количестве утвержденных решений; числе отклоненных заявок; фактах приостановления процедур. Управление рекомендует использовать эту и</w:t>
      </w:r>
      <w:r>
        <w:rPr>
          <w:rFonts w:ascii="Segoe UI" w:hAnsi="Segoe UI" w:eastAsia="Segoe UI" w:cs="Segoe UI"/>
          <w:i/>
          <w:iCs/>
          <w:color w:val="000000" w:themeColor="text1"/>
          <w:sz w:val="24"/>
          <w:szCs w:val="24"/>
        </w:rPr>
        <w:t xml:space="preserve">нформацию при принятии решения о заключении договора»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, - отметила заместитель руководителя Управления </w:t>
      </w:r>
      <w:r>
        <w:rPr>
          <w:rFonts w:ascii="Segoe UI" w:hAnsi="Segoe UI" w:eastAsia="Segoe UI" w:cs="Segoe UI"/>
          <w:b/>
          <w:bCs/>
          <w:color w:val="000000" w:themeColor="text1"/>
          <w:sz w:val="24"/>
          <w:szCs w:val="24"/>
        </w:rPr>
        <w:t xml:space="preserve">Татьяна Янтюшева.</w:t>
      </w:r>
      <w:r>
        <w:rPr>
          <w:rFonts w:ascii="Segoe UI" w:hAnsi="Segoe UI" w:cs="Segoe UI"/>
          <w:b/>
          <w:bCs/>
          <w:color w:val="000000" w:themeColor="text1"/>
          <w:sz w:val="24"/>
          <w:szCs w:val="24"/>
        </w:rPr>
      </w:r>
      <w:r>
        <w:rPr>
          <w:rFonts w:ascii="Segoe UI" w:hAnsi="Segoe UI" w:cs="Segoe UI"/>
          <w:b/>
          <w:bCs/>
          <w:color w:val="000000" w:themeColor="text1"/>
          <w:sz w:val="24"/>
          <w:szCs w:val="24"/>
        </w:rPr>
      </w:r>
    </w:p>
    <w:p>
      <w:pPr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Н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апомним, что с 1 марта 2025 года регистрационные действия в отношении земельного участка не могут быть выполнены, если в Едином государственном реестре недвижимости (ЕГРН) отсутствуют сведения о местоположении его границ. Также нельзя поставить на кадастро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вый учёт или оформить права на здание, сооружение или объект незавершенного строительства, расположенные на земельном участке без учтённых границ.</w:t>
      </w:r>
      <w:r>
        <w:rPr>
          <w:rFonts w:ascii="Segoe UI" w:hAnsi="Segoe UI" w:cs="Segoe UI"/>
          <w:color w:val="000000" w:themeColor="text1"/>
          <w:sz w:val="24"/>
          <w:szCs w:val="24"/>
        </w:rPr>
      </w:r>
      <w:r>
        <w:rPr>
          <w:rFonts w:ascii="Segoe UI" w:hAnsi="Segoe UI" w:cs="Segoe UI"/>
          <w:color w:val="000000" w:themeColor="text1"/>
          <w:sz w:val="24"/>
          <w:szCs w:val="24"/>
        </w:rPr>
      </w:r>
    </w:p>
    <w:p>
      <w:pPr>
        <w:rPr>
          <w:rStyle w:val="812"/>
          <w:rFonts w:ascii="Segoe UI" w:hAnsi="Segoe UI" w:cs="Segoe UI"/>
          <w:b/>
          <w:bCs/>
          <w:color w:val="0070c0"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bCs/>
          <w:color w:val="0070c0"/>
          <w:sz w:val="24"/>
          <w:szCs w:val="24"/>
        </w:rPr>
      </w:r>
      <w:hyperlink r:id="rId10" w:tooltip="https://max.ru/id6670073005_gos/AZ24jGObPio" w:history="1">
        <w:r>
          <w:rPr>
            <w:rStyle w:val="812"/>
            <w:rFonts w:ascii="Segoe UI" w:hAnsi="Segoe UI" w:eastAsia="Segoe UI" w:cs="Segoe UI"/>
            <w:b/>
            <w:bCs/>
            <w:color w:val="0070c0"/>
            <w:sz w:val="24"/>
            <w:szCs w:val="24"/>
          </w:rPr>
          <w:t xml:space="preserve">Наш канал в МАХ</w:t>
        </w:r>
        <w:r>
          <w:rPr>
            <w:rStyle w:val="812"/>
            <w:rFonts w:ascii="Segoe UI" w:hAnsi="Segoe UI" w:cs="Segoe UI"/>
            <w:b/>
            <w:bCs/>
            <w:color w:val="0070c0"/>
            <w:sz w:val="24"/>
            <w:szCs w:val="24"/>
            <w:highlight w:val="none"/>
          </w:rPr>
        </w:r>
      </w:hyperlink>
      <w:r>
        <w:rPr>
          <w:b/>
          <w:bCs/>
          <w:color w:val="0070c0"/>
        </w:rPr>
      </w:r>
      <w:r>
        <w:rPr>
          <w:rFonts w:ascii="Segoe UI" w:hAnsi="Segoe UI" w:cs="Segoe UI"/>
          <w:b/>
          <w:bCs/>
          <w:color w:val="0070c0"/>
          <w:sz w:val="24"/>
          <w:szCs w:val="24"/>
          <w:highlight w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b/>
          <w:sz w:val="18"/>
          <w:szCs w:val="18"/>
          <w14:ligatures w14:val="none"/>
        </w:rPr>
      </w:pPr>
      <w:r>
        <w:rPr>
          <w:rFonts w:ascii="Arial" w:hAnsi="Arial" w:eastAsia="Arial" w:cs="Times New Roman"/>
          <w:sz w:val="22"/>
          <w:szCs w:val="22"/>
          <w:lang w:eastAsia="ru-RU"/>
          <w14:ligatures w14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36077725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000750" cy="0"/>
                <wp:effectExtent l="0" t="0" r="0" b="0"/>
                <wp:wrapNone/>
                <wp:docPr id="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32" type="#_x0000_t32" style="position:absolute;z-index:251659264;o:allowoverlap:true;o:allowincell:true;mso-position-horizontal-relative:margin;mso-position-horizontal:left;mso-position-vertical-relative:text;margin-top:0.85pt;mso-position-vertical:absolute;width:472.50pt;height:0.00pt;mso-wrap-distance-left:9.00pt;mso-wrap-distance-top:0.00pt;mso-wrap-distance-right:9.00pt;mso-wrap-distance-bottom:-169093.20pt;visibility:visible;" filled="f" strokecolor="#0070C0" strokeweight="1.25pt"/>
            </w:pict>
          </mc:Fallback>
        </mc:AlternateContent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b/>
          <w:sz w:val="18"/>
          <w:szCs w:val="18"/>
          <w14:ligatures w14:val="none"/>
        </w:rPr>
      </w:pPr>
      <w:r>
        <w:rPr>
          <w:rFonts w:ascii="Segoe UI" w:hAnsi="Segoe UI" w:eastAsia="Arial" w:cs="Segoe UI"/>
          <w:b/>
          <w:sz w:val="18"/>
          <w:szCs w:val="18"/>
          <w14:ligatures w14:val="none"/>
        </w:rPr>
        <w:t xml:space="preserve">Контакты для СМИ</w:t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</w:p>
    <w:p>
      <w:pPr>
        <w:spacing w:after="0" w:line="276" w:lineRule="auto"/>
        <w:shd w:val="clear" w:color="auto" w:fill="ffffff"/>
        <w:rPr>
          <w:rFonts w:ascii="Segoe UI" w:hAnsi="Segoe UI" w:eastAsia="Arial" w:cs="Segoe UI"/>
          <w:sz w:val="18"/>
          <w:szCs w:val="18"/>
          <w14:ligatures w14:val="none"/>
        </w:rPr>
      </w:pPr>
      <w:r>
        <w:rPr>
          <w:rFonts w:ascii="Segoe UI" w:hAnsi="Segoe UI" w:eastAsia="Arial" w:cs="Segoe UI"/>
          <w:sz w:val="18"/>
          <w:szCs w:val="18"/>
          <w14:ligatures w14:val="none"/>
        </w:rPr>
        <w:t xml:space="preserve">Пресс-служба Управления Росреестра по Свердловской области </w:t>
      </w:r>
      <w:r>
        <w:rPr>
          <w:rFonts w:ascii="Segoe UI" w:hAnsi="Segoe UI" w:eastAsia="Arial" w:cs="Segoe UI"/>
          <w:sz w:val="18"/>
          <w:szCs w:val="18"/>
          <w14:ligatures w14:val="none"/>
        </w:rPr>
      </w:r>
      <w:r>
        <w:rPr>
          <w:rFonts w:ascii="Segoe UI" w:hAnsi="Segoe UI" w:eastAsia="Arial" w:cs="Segoe UI"/>
          <w:sz w:val="18"/>
          <w:szCs w:val="18"/>
          <w14:ligatures w14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color w:val="000000"/>
          <w:sz w:val="18"/>
          <w:szCs w:val="18"/>
          <w14:ligatures w14:val="none"/>
        </w:rPr>
      </w:pPr>
      <w:r>
        <w:rPr>
          <w:rFonts w:ascii="Segoe UI" w:hAnsi="Segoe UI" w:eastAsia="Arial" w:cs="Segoe UI"/>
          <w:sz w:val="18"/>
          <w:szCs w:val="18"/>
          <w14:ligatures w14:val="none"/>
        </w:rPr>
        <w:t xml:space="preserve">+7 343</w:t>
      </w:r>
      <w:r>
        <w:rPr>
          <w:rFonts w:ascii="Segoe UI" w:hAnsi="Segoe UI" w:eastAsia="Arial" w:cs="Segoe UI"/>
          <w:sz w:val="18"/>
          <w:szCs w:val="18"/>
          <w:lang w:val="en-US"/>
          <w14:ligatures w14:val="none"/>
        </w:rPr>
        <w:t xml:space="preserve"> </w:t>
      </w:r>
      <w:r>
        <w:rPr>
          <w:rFonts w:ascii="Segoe UI" w:hAnsi="Segoe UI" w:eastAsia="Arial" w:cs="Segoe UI"/>
          <w:sz w:val="18"/>
          <w:szCs w:val="18"/>
          <w14:ligatures w14:val="none"/>
        </w:rPr>
        <w:t xml:space="preserve">375 40 </w:t>
      </w:r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  <w:t xml:space="preserve">81 </w:t>
      </w:r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</w:r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color w:val="000000"/>
          <w:sz w:val="18"/>
          <w:szCs w:val="18"/>
          <w14:ligatures w14:val="none"/>
        </w:rPr>
      </w:pPr>
      <w:r/>
      <w:hyperlink r:id="rId11" w:tooltip="mailto::press66_rosreestr@mail.ru" w:history="1"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:lang w:val="en-US"/>
            <w14:ligatures w14:val="none"/>
          </w:rPr>
          <w:t xml:space="preserve">press</w:t>
        </w:r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14:ligatures w14:val="none"/>
          </w:rPr>
          <w:t xml:space="preserve">66_</w:t>
        </w:r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:lang w:val="en-US"/>
            <w14:ligatures w14:val="none"/>
          </w:rPr>
          <w:t xml:space="preserve">rosreestr</w:t>
        </w:r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14:ligatures w14:val="none"/>
          </w:rPr>
          <w:t xml:space="preserve">@</w:t>
        </w:r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:lang w:val="en-US"/>
            <w14:ligatures w14:val="none"/>
          </w:rPr>
          <w:t xml:space="preserve">mail</w:t>
        </w:r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14:ligatures w14:val="none"/>
          </w:rPr>
          <w:t xml:space="preserve">.</w:t>
        </w:r>
        <w:r>
          <w:rPr>
            <w:rFonts w:ascii="Segoe UI" w:hAnsi="Segoe UI" w:eastAsia="Arial" w:cs="Segoe UI"/>
            <w:color w:val="000000"/>
            <w:sz w:val="18"/>
            <w:szCs w:val="18"/>
            <w:u w:val="single"/>
            <w:lang w:val="en-US"/>
            <w14:ligatures w14:val="none"/>
          </w:rPr>
          <w:t xml:space="preserve">ru</w:t>
        </w:r>
      </w:hyperlink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</w:r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color w:val="000000"/>
          <w:sz w:val="18"/>
          <w:szCs w:val="18"/>
          <w14:ligatures w14:val="none"/>
        </w:rPr>
      </w:pPr>
      <w:r/>
      <w:hyperlink r:id="rId12" w:tooltip="http://www.rosreestr.gov.ru" w:history="1"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:lang w:val="en-US"/>
            <w14:ligatures w14:val="none"/>
          </w:rPr>
          <w:t xml:space="preserve">www</w:t>
        </w:r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14:ligatures w14:val="none"/>
          </w:rPr>
          <w:t xml:space="preserve">.</w:t>
        </w:r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:lang w:val="en-US"/>
            <w14:ligatures w14:val="none"/>
          </w:rPr>
          <w:t xml:space="preserve">rosreestr</w:t>
        </w:r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14:ligatures w14:val="none"/>
          </w:rPr>
          <w:t xml:space="preserve">.</w:t>
        </w:r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:lang w:val="en-US"/>
            <w14:ligatures w14:val="none"/>
          </w:rPr>
          <w:t xml:space="preserve">gov</w:t>
        </w:r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14:ligatures w14:val="none"/>
          </w:rPr>
          <w:t xml:space="preserve">.</w:t>
        </w:r>
        <w:r>
          <w:rPr>
            <w:rFonts w:ascii="Segoe UI" w:hAnsi="Segoe UI" w:eastAsia="Arial" w:cs="Segoe UI"/>
            <w:color w:val="0000ff"/>
            <w:sz w:val="18"/>
            <w:szCs w:val="18"/>
            <w:u w:val="single"/>
            <w:lang w:val="en-US"/>
            <w14:ligatures w14:val="none"/>
          </w:rPr>
          <w:t xml:space="preserve">ru</w:t>
        </w:r>
      </w:hyperlink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</w:r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</w:r>
    </w:p>
    <w:p>
      <w:pPr>
        <w:jc w:val="both"/>
        <w:spacing w:after="0" w:line="276" w:lineRule="auto"/>
        <w:rPr>
          <w:rFonts w:ascii="Segoe UI" w:hAnsi="Segoe UI" w:eastAsia="Arial" w:cs="Segoe UI"/>
          <w:sz w:val="22"/>
          <w:szCs w:val="22"/>
          <w14:ligatures w14:val="none"/>
        </w:rPr>
      </w:pPr>
      <w:r>
        <w:rPr>
          <w:rFonts w:ascii="Segoe UI" w:hAnsi="Segoe UI" w:eastAsia="Arial" w:cs="Segoe UI"/>
          <w:color w:val="000000"/>
          <w:sz w:val="18"/>
          <w:szCs w:val="18"/>
          <w14:ligatures w14:val="none"/>
        </w:rPr>
        <w:t xml:space="preserve">620062, г. Екатеринбург, ул. Генеральская, 6 а.</w:t>
      </w:r>
      <w:r>
        <w:rPr>
          <w:rFonts w:ascii="Segoe UI" w:hAnsi="Segoe UI" w:eastAsia="Arial" w:cs="Segoe UI"/>
          <w:sz w:val="22"/>
          <w:szCs w:val="22"/>
          <w14:ligatures w14:val="none"/>
        </w:rPr>
      </w:r>
      <w:r>
        <w:rPr>
          <w:rFonts w:ascii="Segoe UI" w:hAnsi="Segoe UI" w:eastAsia="Arial" w:cs="Segoe UI"/>
          <w:sz w:val="22"/>
          <w:szCs w:val="22"/>
          <w14:ligatures w14:val="none"/>
        </w:rPr>
      </w:r>
    </w:p>
    <w:p>
      <w:r/>
      <w:r/>
    </w:p>
    <w:p>
      <w:pPr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  <w:highlight w:val="none"/>
        </w:rPr>
      </w:r>
      <w:r>
        <w:rPr>
          <w:rFonts w:ascii="Segoe UI" w:hAnsi="Segoe UI" w:cs="Segoe UI"/>
          <w:color w:val="000000" w:themeColor="text1"/>
          <w:sz w:val="24"/>
          <w:szCs w:val="24"/>
          <w:highlight w:val="none"/>
        </w:rPr>
      </w:r>
      <w:r>
        <w:rPr>
          <w:rFonts w:ascii="Segoe UI" w:hAnsi="Segoe UI" w:cs="Segoe UI"/>
          <w:color w:val="000000" w:themeColor="text1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https://rosreestr.gov.ru/open-service/statistika-i-analitika/reyting-kadastrovykh-inzhenerov-417/reytingi-kadastrovykh-inzhenerov-1-kvartal-2026-god-417-SO/" TargetMode="External"/><Relationship Id="rId10" Type="http://schemas.openxmlformats.org/officeDocument/2006/relationships/hyperlink" Target="https://max.ru/id6670073005_gos/AZ24jGObPio" TargetMode="External"/><Relationship Id="rId11" Type="http://schemas.openxmlformats.org/officeDocument/2006/relationships/hyperlink" Target="mailto::press66_rosreestr@mail.ru" TargetMode="External"/><Relationship Id="rId12" Type="http://schemas.openxmlformats.org/officeDocument/2006/relationships/hyperlink" Target="http://www.rosreestr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2026-04-23T04:23:24Z</dcterms:modified>
</cp:coreProperties>
</file>